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Look w:val="04A0" w:firstRow="1" w:lastRow="0" w:firstColumn="1" w:lastColumn="0" w:noHBand="0" w:noVBand="1"/>
      </w:tblPr>
      <w:tblGrid>
        <w:gridCol w:w="7012"/>
        <w:gridCol w:w="2338"/>
      </w:tblGrid>
      <w:tr w:rsidR="00415441" w:rsidTr="00B878BD">
        <w:tc>
          <w:tcPr>
            <w:tcW w:w="7012" w:type="dxa"/>
          </w:tcPr>
          <w:p w:rsidR="00415441" w:rsidRPr="00415441" w:rsidRDefault="00415441" w:rsidP="009151EC">
            <w:pPr>
              <w:pStyle w:val="NoSpacing"/>
              <w:rPr>
                <w:sz w:val="28"/>
                <w:szCs w:val="28"/>
              </w:rPr>
            </w:pPr>
            <w:r w:rsidRPr="00415441">
              <w:rPr>
                <w:sz w:val="28"/>
                <w:szCs w:val="28"/>
              </w:rPr>
              <w:t xml:space="preserve">CLASS </w:t>
            </w:r>
            <w:r w:rsidR="009151EC">
              <w:rPr>
                <w:sz w:val="28"/>
                <w:szCs w:val="28"/>
              </w:rPr>
              <w:t>2</w:t>
            </w:r>
          </w:p>
        </w:tc>
        <w:tc>
          <w:tcPr>
            <w:tcW w:w="2338" w:type="dxa"/>
          </w:tcPr>
          <w:p w:rsidR="00415441" w:rsidRPr="00415441" w:rsidRDefault="00415441" w:rsidP="00415441">
            <w:pPr>
              <w:pStyle w:val="NoSpacing"/>
              <w:rPr>
                <w:sz w:val="28"/>
                <w:szCs w:val="28"/>
              </w:rPr>
            </w:pPr>
            <w:r w:rsidRPr="00415441">
              <w:rPr>
                <w:sz w:val="28"/>
                <w:szCs w:val="28"/>
              </w:rPr>
              <w:t>A</w:t>
            </w:r>
            <w:r w:rsidR="009151EC">
              <w:rPr>
                <w:sz w:val="28"/>
                <w:szCs w:val="28"/>
              </w:rPr>
              <w:t>pril 11</w:t>
            </w:r>
            <w:r w:rsidRPr="00415441">
              <w:rPr>
                <w:sz w:val="28"/>
                <w:szCs w:val="28"/>
              </w:rPr>
              <w:t>, 2018</w:t>
            </w:r>
          </w:p>
        </w:tc>
      </w:tr>
      <w:tr w:rsidR="00415441" w:rsidTr="00920FBF">
        <w:tc>
          <w:tcPr>
            <w:tcW w:w="9350" w:type="dxa"/>
            <w:gridSpan w:val="2"/>
          </w:tcPr>
          <w:p w:rsidR="00415441" w:rsidRPr="00415441" w:rsidRDefault="009151EC" w:rsidP="00072731">
            <w:pPr>
              <w:pStyle w:val="NoSpacing"/>
              <w:rPr>
                <w:sz w:val="28"/>
                <w:szCs w:val="28"/>
              </w:rPr>
            </w:pPr>
            <w:r>
              <w:rPr>
                <w:b/>
                <w:sz w:val="36"/>
                <w:szCs w:val="36"/>
              </w:rPr>
              <w:t>Where We Got The Bible</w:t>
            </w:r>
          </w:p>
        </w:tc>
      </w:tr>
      <w:tr w:rsidR="00415441" w:rsidTr="00D52CE7">
        <w:tc>
          <w:tcPr>
            <w:tcW w:w="9350" w:type="dxa"/>
            <w:gridSpan w:val="2"/>
          </w:tcPr>
          <w:p w:rsidR="00415441" w:rsidRPr="00415441" w:rsidRDefault="00415441" w:rsidP="00415441">
            <w:pPr>
              <w:pStyle w:val="NoSpacing"/>
              <w:rPr>
                <w:sz w:val="28"/>
                <w:szCs w:val="28"/>
              </w:rPr>
            </w:pPr>
            <w:r w:rsidRPr="00415441">
              <w:rPr>
                <w:sz w:val="28"/>
                <w:szCs w:val="28"/>
              </w:rPr>
              <w:t>OVERVIEW:</w:t>
            </w:r>
          </w:p>
        </w:tc>
      </w:tr>
      <w:tr w:rsidR="00415441" w:rsidTr="00EF3DBA">
        <w:tc>
          <w:tcPr>
            <w:tcW w:w="9350" w:type="dxa"/>
            <w:gridSpan w:val="2"/>
          </w:tcPr>
          <w:p w:rsidR="00415441" w:rsidRPr="009151EC" w:rsidRDefault="009151EC" w:rsidP="009151EC">
            <w:pPr>
              <w:pStyle w:val="NoSpacing"/>
              <w:jc w:val="both"/>
            </w:pPr>
            <w:r w:rsidRPr="009151EC">
              <w:t xml:space="preserve">We </w:t>
            </w:r>
            <w:r w:rsidRPr="009151EC">
              <w:t>can have absolutely certainty that</w:t>
            </w:r>
            <w:r w:rsidRPr="009151EC">
              <w:t xml:space="preserve"> </w:t>
            </w:r>
            <w:r w:rsidRPr="009151EC">
              <w:t>t</w:t>
            </w:r>
            <w:r w:rsidRPr="009151EC">
              <w:t>he Old Testament we have is God’s Word to Israel; Books we do not include were not part of that Word. We can be sure THIS WAS GOD’S MESSAGE TO Israel, and to us today (I Corinthians 10:11).</w:t>
            </w:r>
            <w:r w:rsidRPr="009151EC">
              <w:t xml:space="preserve"> Even more so, o</w:t>
            </w:r>
            <w:r w:rsidRPr="009151EC">
              <w:t xml:space="preserve">ur </w:t>
            </w:r>
            <w:r w:rsidRPr="009151EC">
              <w:t>c</w:t>
            </w:r>
            <w:r w:rsidRPr="009151EC">
              <w:t xml:space="preserve">ertainty of the New Testament is absolute. We can demonstrate that the New Testament emerged in the first century. We can determine that it was the result of EYEWITNESSES to the events. Thus: </w:t>
            </w:r>
            <w:r w:rsidRPr="009151EC">
              <w:rPr>
                <w:i/>
              </w:rPr>
              <w:t>we have the prophetic word confirmed, which you do well to heed as a light that shines in a dark place, until the day dawns and the morning star rises in your hearts</w:t>
            </w:r>
            <w:r w:rsidRPr="009151EC">
              <w:t>; (2 Peter 1:19)</w:t>
            </w:r>
          </w:p>
        </w:tc>
      </w:tr>
    </w:tbl>
    <w:p w:rsidR="00415441" w:rsidRPr="00072731" w:rsidRDefault="00415441" w:rsidP="00415441">
      <w:pPr>
        <w:pStyle w:val="NoSpacing"/>
        <w:jc w:val="both"/>
        <w:rPr>
          <w:sz w:val="24"/>
          <w:szCs w:val="24"/>
        </w:rPr>
      </w:pPr>
    </w:p>
    <w:p w:rsidR="009151EC" w:rsidRPr="009151EC" w:rsidRDefault="009151EC" w:rsidP="009151EC">
      <w:pPr>
        <w:pStyle w:val="NoSpacing"/>
        <w:jc w:val="both"/>
        <w:rPr>
          <w:b/>
        </w:rPr>
      </w:pPr>
      <w:r w:rsidRPr="009151EC">
        <w:rPr>
          <w:b/>
        </w:rPr>
        <w:t>Definitions You Need to Know:</w:t>
      </w:r>
    </w:p>
    <w:p w:rsidR="009151EC" w:rsidRPr="009151EC" w:rsidRDefault="009151EC" w:rsidP="009151EC">
      <w:pPr>
        <w:pStyle w:val="NoSpacing"/>
        <w:ind w:firstLine="720"/>
        <w:jc w:val="both"/>
      </w:pPr>
      <w:r w:rsidRPr="009151EC">
        <w:rPr>
          <w:b/>
        </w:rPr>
        <w:t>Canon</w:t>
      </w:r>
      <w:r w:rsidRPr="009151EC">
        <w:t xml:space="preserve"> – literally “a line”; the accepted complimentary books we call the Scriptures</w:t>
      </w:r>
    </w:p>
    <w:p w:rsidR="009151EC" w:rsidRPr="009151EC" w:rsidRDefault="009151EC" w:rsidP="009151EC">
      <w:pPr>
        <w:pStyle w:val="NoSpacing"/>
        <w:ind w:firstLine="720"/>
        <w:jc w:val="both"/>
      </w:pPr>
      <w:r w:rsidRPr="009151EC">
        <w:rPr>
          <w:b/>
        </w:rPr>
        <w:t>Apocrypha</w:t>
      </w:r>
      <w:r w:rsidRPr="009151EC">
        <w:t xml:space="preserve"> – additional books in the Catholic and Greek Orthodox Bible</w:t>
      </w:r>
    </w:p>
    <w:p w:rsidR="009151EC" w:rsidRPr="009151EC" w:rsidRDefault="009151EC" w:rsidP="009151EC">
      <w:pPr>
        <w:pStyle w:val="NoSpacing"/>
        <w:ind w:firstLine="720"/>
        <w:jc w:val="both"/>
      </w:pPr>
      <w:r w:rsidRPr="009151EC">
        <w:rPr>
          <w:b/>
        </w:rPr>
        <w:t>Septuagint</w:t>
      </w:r>
      <w:r w:rsidRPr="009151EC">
        <w:t xml:space="preserve"> – A Greek translation of the Old Testament</w:t>
      </w:r>
    </w:p>
    <w:p w:rsidR="009151EC" w:rsidRPr="009151EC" w:rsidRDefault="009151EC" w:rsidP="009151EC">
      <w:pPr>
        <w:pStyle w:val="NoSpacing"/>
        <w:ind w:left="720"/>
        <w:jc w:val="both"/>
      </w:pPr>
      <w:proofErr w:type="spellStart"/>
      <w:r w:rsidRPr="009151EC">
        <w:rPr>
          <w:b/>
        </w:rPr>
        <w:t>Pseudepigripha</w:t>
      </w:r>
      <w:proofErr w:type="spellEnd"/>
      <w:r w:rsidRPr="009151EC">
        <w:t xml:space="preserve"> – “like writings” from the first century</w:t>
      </w:r>
    </w:p>
    <w:p w:rsidR="009151EC" w:rsidRPr="009151EC" w:rsidRDefault="009151EC" w:rsidP="009151EC">
      <w:pPr>
        <w:pStyle w:val="NoSpacing"/>
        <w:ind w:firstLine="720"/>
        <w:jc w:val="both"/>
      </w:pPr>
      <w:r w:rsidRPr="009151EC">
        <w:rPr>
          <w:b/>
        </w:rPr>
        <w:t>Translation</w:t>
      </w:r>
      <w:r w:rsidRPr="009151EC">
        <w:t xml:space="preserve"> – literally moving from one language to another; to describe versions of the Bible </w:t>
      </w:r>
    </w:p>
    <w:p w:rsidR="009151EC" w:rsidRDefault="009151EC" w:rsidP="009151EC">
      <w:pPr>
        <w:pStyle w:val="NoSpacing"/>
        <w:ind w:firstLine="720"/>
        <w:jc w:val="both"/>
      </w:pPr>
      <w:r w:rsidRPr="009151EC">
        <w:rPr>
          <w:b/>
        </w:rPr>
        <w:t>Copy</w:t>
      </w:r>
      <w:r w:rsidRPr="009151EC">
        <w:t xml:space="preserve"> – multiplying identical texts</w:t>
      </w:r>
    </w:p>
    <w:p w:rsidR="004F45D6" w:rsidRDefault="004F45D6" w:rsidP="009151EC">
      <w:pPr>
        <w:pStyle w:val="NoSpacing"/>
        <w:ind w:firstLine="720"/>
        <w:jc w:val="both"/>
      </w:pPr>
      <w:r w:rsidRPr="004F45D6">
        <w:rPr>
          <w:b/>
        </w:rPr>
        <w:t>Greek</w:t>
      </w:r>
      <w:r>
        <w:t xml:space="preserve"> – language in which the New Testament was written</w:t>
      </w:r>
    </w:p>
    <w:p w:rsidR="004F45D6" w:rsidRDefault="004F45D6" w:rsidP="004F45D6">
      <w:pPr>
        <w:pStyle w:val="NoSpacing"/>
        <w:ind w:firstLine="720"/>
        <w:jc w:val="both"/>
      </w:pPr>
      <w:r w:rsidRPr="004F45D6">
        <w:rPr>
          <w:b/>
        </w:rPr>
        <w:t>Hebrew</w:t>
      </w:r>
      <w:r>
        <w:t xml:space="preserve"> – language the Jews spoke and in which the Old Testament was written</w:t>
      </w:r>
    </w:p>
    <w:p w:rsidR="004F45D6" w:rsidRPr="009151EC" w:rsidRDefault="004F45D6" w:rsidP="004F45D6">
      <w:pPr>
        <w:pStyle w:val="NoSpacing"/>
        <w:ind w:firstLine="720"/>
        <w:jc w:val="both"/>
      </w:pPr>
      <w:r w:rsidRPr="004F45D6">
        <w:rPr>
          <w:b/>
        </w:rPr>
        <w:t>Aramaic</w:t>
      </w:r>
      <w:r>
        <w:t xml:space="preserve"> – language the Jews spoke after captivity and in the time of Jesus</w:t>
      </w:r>
    </w:p>
    <w:p w:rsidR="009151EC" w:rsidRPr="009151EC" w:rsidRDefault="009151EC" w:rsidP="009151EC">
      <w:pPr>
        <w:pStyle w:val="NoSpacing"/>
        <w:jc w:val="both"/>
      </w:pPr>
    </w:p>
    <w:p w:rsidR="009151EC" w:rsidRPr="00F04D27" w:rsidRDefault="009151EC" w:rsidP="009151EC">
      <w:pPr>
        <w:pStyle w:val="NoSpacing"/>
        <w:jc w:val="both"/>
        <w:rPr>
          <w:b/>
          <w:sz w:val="32"/>
          <w:szCs w:val="32"/>
        </w:rPr>
      </w:pPr>
      <w:r w:rsidRPr="00F04D27">
        <w:rPr>
          <w:b/>
          <w:sz w:val="32"/>
          <w:szCs w:val="32"/>
        </w:rPr>
        <w:t>The Story of the Old Testament:</w:t>
      </w:r>
    </w:p>
    <w:p w:rsidR="009151EC" w:rsidRPr="009151EC" w:rsidRDefault="009151EC" w:rsidP="009151EC">
      <w:pPr>
        <w:pStyle w:val="NoSpacing"/>
        <w:jc w:val="both"/>
      </w:pPr>
      <w:r w:rsidRPr="009151EC">
        <w:t>THE LAW - In the beginning Moses received the law (1500-1300BC) over 40 years.  Moses &amp; Joshua wrote down these first five books of the Bible (Exodus 24:4, Deuteronomy 31:9, Joshua 24:26) in Hebrew.</w:t>
      </w:r>
    </w:p>
    <w:p w:rsidR="00F04D27" w:rsidRDefault="009151EC" w:rsidP="009151EC">
      <w:pPr>
        <w:pStyle w:val="NoSpacing"/>
        <w:jc w:val="both"/>
      </w:pPr>
      <w:r w:rsidRPr="009151EC">
        <w:t>HISTORY - As time progressed various authors transcribed Israel’s history for a period of about 1000 years (from Joshua until Malachi/Nehemiah). Jewish scholars attributed some of these (traditionally) to Samuel and Ezra. We need to know that these record</w:t>
      </w:r>
      <w:r w:rsidR="00F04D27">
        <w:t>s were also considered the Law</w:t>
      </w:r>
    </w:p>
    <w:p w:rsidR="009151EC" w:rsidRPr="009151EC" w:rsidRDefault="009151EC" w:rsidP="009151EC">
      <w:pPr>
        <w:pStyle w:val="NoSpacing"/>
        <w:jc w:val="both"/>
      </w:pPr>
      <w:r w:rsidRPr="009151EC">
        <w:t xml:space="preserve">POETRY – This material was poetic legal prophecy. It was prophecy (speaking for God in commentary AND speaking for God as foretelling) as seen in Psalm 22. </w:t>
      </w:r>
      <w:r w:rsidR="00F04D27">
        <w:t>It was also</w:t>
      </w:r>
      <w:r w:rsidRPr="009151EC">
        <w:t xml:space="preserve"> Law </w:t>
      </w:r>
      <w:r w:rsidR="00F04D27">
        <w:t>(</w:t>
      </w:r>
      <w:r w:rsidRPr="009151EC">
        <w:t>Rom</w:t>
      </w:r>
      <w:r w:rsidR="00F04D27">
        <w:t>.</w:t>
      </w:r>
      <w:r w:rsidRPr="009151EC">
        <w:t xml:space="preserve"> 3:19</w:t>
      </w:r>
      <w:r w:rsidR="00F04D27">
        <w:t xml:space="preserve">, </w:t>
      </w:r>
      <w:proofErr w:type="spellStart"/>
      <w:r w:rsidRPr="009151EC">
        <w:t>Jn</w:t>
      </w:r>
      <w:proofErr w:type="spellEnd"/>
      <w:r w:rsidRPr="009151EC">
        <w:t xml:space="preserve"> 12:34</w:t>
      </w:r>
      <w:r w:rsidR="00F04D27">
        <w:t>)</w:t>
      </w:r>
    </w:p>
    <w:p w:rsidR="009151EC" w:rsidRPr="009151EC" w:rsidRDefault="009151EC" w:rsidP="009151EC">
      <w:pPr>
        <w:pStyle w:val="NoSpacing"/>
        <w:jc w:val="both"/>
      </w:pPr>
      <w:r w:rsidRPr="009151EC">
        <w:t xml:space="preserve">PROPHETS – While we break them into major and minor based on the length of material, originally the Minor Prophets were one books (seen in Acts 7:42). They were either speaking for God in commentary or in foretelling (such as Jeremiah 31:31). There words are also called Law in Scripture (I Corinthians 14:21). </w:t>
      </w:r>
    </w:p>
    <w:p w:rsidR="009151EC" w:rsidRPr="009151EC" w:rsidRDefault="009151EC" w:rsidP="009151EC">
      <w:pPr>
        <w:pStyle w:val="NoSpacing"/>
        <w:jc w:val="both"/>
      </w:pPr>
    </w:p>
    <w:p w:rsidR="009151EC" w:rsidRPr="009151EC" w:rsidRDefault="009151EC" w:rsidP="009151EC">
      <w:pPr>
        <w:pStyle w:val="NoSpacing"/>
        <w:jc w:val="both"/>
      </w:pPr>
      <w:r w:rsidRPr="009151EC">
        <w:t xml:space="preserve">Therefore, we see that everything in what we call the Old Testament (Genesis through Malachi, as Jesus said in Matthew 11:13) is summed up by being called the Law and the Prophets, and is both Law and Prophecy in equal match (consider Matthew 5:17). </w:t>
      </w:r>
    </w:p>
    <w:p w:rsidR="009151EC" w:rsidRPr="009151EC" w:rsidRDefault="009151EC" w:rsidP="009151EC">
      <w:pPr>
        <w:pStyle w:val="NoSpacing"/>
        <w:jc w:val="both"/>
      </w:pPr>
    </w:p>
    <w:p w:rsidR="009151EC" w:rsidRPr="009151EC" w:rsidRDefault="009151EC" w:rsidP="009151EC">
      <w:pPr>
        <w:pStyle w:val="NoSpacing"/>
        <w:jc w:val="both"/>
        <w:rPr>
          <w:b/>
        </w:rPr>
      </w:pPr>
      <w:r w:rsidRPr="009151EC">
        <w:rPr>
          <w:b/>
        </w:rPr>
        <w:t>Can We Be Certain?</w:t>
      </w:r>
    </w:p>
    <w:p w:rsidR="009151EC" w:rsidRPr="009151EC" w:rsidRDefault="009151EC" w:rsidP="009151EC">
      <w:pPr>
        <w:pStyle w:val="NoSpacing"/>
        <w:jc w:val="both"/>
      </w:pPr>
      <w:r w:rsidRPr="009151EC">
        <w:t xml:space="preserve">Some (secularists and liberal denominations) claim that the OT “was written much later – 500 BC”, or “it was a fictional record”, or “the real OT has been lost”. Can we be certain that the claims of the veracity of these writings is present? In fact, there are “tons” (literally, hundreds of tons) of evidence that testify to the veracity of the OT. For example, a silver strip found in a cave in the middle east turned out to be a quote of Leviticus 6:24-26, and proves that Leviticus (one of the original five books) existed long before these scholars say it did. There is substantial (again, the tons) recorded evidence that the records of the </w:t>
      </w:r>
      <w:r w:rsidRPr="009151EC">
        <w:lastRenderedPageBreak/>
        <w:t>OT are accurate; consider that 50 people from the OT are non-biblically</w:t>
      </w:r>
      <w:r w:rsidRPr="009151EC">
        <w:rPr>
          <w:rStyle w:val="FootnoteReference"/>
        </w:rPr>
        <w:footnoteReference w:id="1"/>
      </w:r>
      <w:r w:rsidRPr="009151EC">
        <w:t xml:space="preserve"> confirmed in other records. That is a BIG testimony. Finally, to the claims that cast doubt on the Bibles ability to survive repeated copies, the Dead Sea Scrolls demonstrate that for 2000 years Scribes have accurately copied the Old Testament. </w:t>
      </w:r>
    </w:p>
    <w:p w:rsidR="009151EC" w:rsidRPr="009151EC" w:rsidRDefault="009151EC" w:rsidP="009151EC">
      <w:pPr>
        <w:pStyle w:val="NoSpacing"/>
        <w:jc w:val="both"/>
      </w:pPr>
    </w:p>
    <w:p w:rsidR="009151EC" w:rsidRPr="009151EC" w:rsidRDefault="009151EC" w:rsidP="009151EC">
      <w:pPr>
        <w:pStyle w:val="NoSpacing"/>
        <w:jc w:val="both"/>
      </w:pPr>
      <w:r w:rsidRPr="009151EC">
        <w:t>We CAN be certain that the Hebrew Old Testament we translate today has enormous historic authenticity, has verifiable ancient linguistic evidences, and has an extremely reputable pedigree.</w:t>
      </w:r>
    </w:p>
    <w:p w:rsidR="009151EC" w:rsidRPr="009151EC" w:rsidRDefault="009151EC" w:rsidP="009151EC">
      <w:pPr>
        <w:pStyle w:val="NoSpacing"/>
        <w:jc w:val="both"/>
      </w:pPr>
    </w:p>
    <w:p w:rsidR="009151EC" w:rsidRPr="009151EC" w:rsidRDefault="009151EC" w:rsidP="009151EC">
      <w:pPr>
        <w:pStyle w:val="NoSpacing"/>
        <w:jc w:val="both"/>
        <w:rPr>
          <w:b/>
        </w:rPr>
      </w:pPr>
      <w:r w:rsidRPr="009151EC">
        <w:rPr>
          <w:b/>
        </w:rPr>
        <w:t xml:space="preserve">What About What Is NOT the OLD </w:t>
      </w:r>
      <w:proofErr w:type="gramStart"/>
      <w:r w:rsidRPr="009151EC">
        <w:rPr>
          <w:b/>
        </w:rPr>
        <w:t>TESTAMENT:</w:t>
      </w:r>
      <w:proofErr w:type="gramEnd"/>
    </w:p>
    <w:p w:rsidR="009151EC" w:rsidRPr="009151EC" w:rsidRDefault="009151EC" w:rsidP="009151EC">
      <w:pPr>
        <w:pStyle w:val="NoSpacing"/>
        <w:jc w:val="both"/>
      </w:pPr>
      <w:r w:rsidRPr="009151EC">
        <w:t xml:space="preserve">It was generally </w:t>
      </w:r>
      <w:r w:rsidR="00F04D27">
        <w:t xml:space="preserve">believed </w:t>
      </w:r>
      <w:r w:rsidRPr="009151EC">
        <w:t>by the Jewish scholars in the time of Christ that Moses wrote five books (“The Five”), David wrote most of the Psalms, and Zechariah &amp; Malachi were the last of the inspired writers. Therefore, the Old Testament we use now was the same that Jesus &amp; the Apostles used. However, after Malachi some writings appeared that were known but NOT considered to be inspired by God by ancient Jewish scribes as well as early Christians, including Jesus and the Apostles. These are the books we call the Apocrypha. They were fables, myths and perhaps uninspired histories that were added to the Scriptures. The Greek OT translation called the Septuagint (written around 150BC) included them; soon many early Rabbis rejected the Septuagint because of this inclusion. The Apocrypha include:</w:t>
      </w:r>
    </w:p>
    <w:p w:rsidR="009151EC" w:rsidRPr="009151EC" w:rsidRDefault="009151EC" w:rsidP="009151EC">
      <w:pPr>
        <w:pStyle w:val="NoSpacing"/>
        <w:jc w:val="both"/>
      </w:pPr>
    </w:p>
    <w:tbl>
      <w:tblPr>
        <w:tblStyle w:val="TableGrid"/>
        <w:tblW w:w="0" w:type="auto"/>
        <w:tblLook w:val="04A0" w:firstRow="1" w:lastRow="0" w:firstColumn="1" w:lastColumn="0" w:noHBand="0" w:noVBand="1"/>
      </w:tblPr>
      <w:tblGrid>
        <w:gridCol w:w="3116"/>
        <w:gridCol w:w="3117"/>
        <w:gridCol w:w="3117"/>
      </w:tblGrid>
      <w:tr w:rsidR="009151EC" w:rsidRPr="009151EC" w:rsidTr="00FF618F">
        <w:tc>
          <w:tcPr>
            <w:tcW w:w="3116" w:type="dxa"/>
          </w:tcPr>
          <w:p w:rsidR="009151EC" w:rsidRPr="009151EC" w:rsidRDefault="009151EC" w:rsidP="00FF618F">
            <w:pPr>
              <w:pStyle w:val="NoSpacing"/>
              <w:jc w:val="center"/>
            </w:pPr>
            <w:r w:rsidRPr="009151EC">
              <w:t>Tobit</w:t>
            </w:r>
          </w:p>
        </w:tc>
        <w:tc>
          <w:tcPr>
            <w:tcW w:w="3117" w:type="dxa"/>
          </w:tcPr>
          <w:p w:rsidR="009151EC" w:rsidRPr="009151EC" w:rsidRDefault="009151EC" w:rsidP="00FF618F">
            <w:pPr>
              <w:pStyle w:val="NoSpacing"/>
              <w:jc w:val="center"/>
            </w:pPr>
            <w:r w:rsidRPr="009151EC">
              <w:t>Judith</w:t>
            </w:r>
          </w:p>
        </w:tc>
        <w:tc>
          <w:tcPr>
            <w:tcW w:w="3117" w:type="dxa"/>
          </w:tcPr>
          <w:p w:rsidR="009151EC" w:rsidRPr="009151EC" w:rsidRDefault="009151EC" w:rsidP="00FF618F">
            <w:pPr>
              <w:pStyle w:val="NoSpacing"/>
              <w:jc w:val="center"/>
            </w:pPr>
            <w:r w:rsidRPr="009151EC">
              <w:t>Additions to Esther</w:t>
            </w:r>
          </w:p>
        </w:tc>
      </w:tr>
      <w:tr w:rsidR="009151EC" w:rsidRPr="009151EC" w:rsidTr="00FF618F">
        <w:tc>
          <w:tcPr>
            <w:tcW w:w="3116" w:type="dxa"/>
          </w:tcPr>
          <w:p w:rsidR="009151EC" w:rsidRPr="009151EC" w:rsidRDefault="009151EC" w:rsidP="00FF618F">
            <w:pPr>
              <w:pStyle w:val="NoSpacing"/>
              <w:jc w:val="center"/>
            </w:pPr>
            <w:r w:rsidRPr="009151EC">
              <w:t>Wisdom (of Solomon)</w:t>
            </w:r>
          </w:p>
        </w:tc>
        <w:tc>
          <w:tcPr>
            <w:tcW w:w="3117" w:type="dxa"/>
          </w:tcPr>
          <w:p w:rsidR="009151EC" w:rsidRPr="009151EC" w:rsidRDefault="009151EC" w:rsidP="00FF618F">
            <w:pPr>
              <w:pStyle w:val="NoSpacing"/>
              <w:jc w:val="center"/>
            </w:pPr>
            <w:r w:rsidRPr="009151EC">
              <w:t>Sirach/ Ecclesiasticus</w:t>
            </w:r>
          </w:p>
        </w:tc>
        <w:tc>
          <w:tcPr>
            <w:tcW w:w="3117" w:type="dxa"/>
          </w:tcPr>
          <w:p w:rsidR="009151EC" w:rsidRPr="009151EC" w:rsidRDefault="009151EC" w:rsidP="00FF618F">
            <w:pPr>
              <w:pStyle w:val="NoSpacing"/>
              <w:jc w:val="center"/>
            </w:pPr>
            <w:r w:rsidRPr="009151EC">
              <w:t>Baruch</w:t>
            </w:r>
          </w:p>
        </w:tc>
      </w:tr>
      <w:tr w:rsidR="009151EC" w:rsidRPr="009151EC" w:rsidTr="00FF618F">
        <w:tc>
          <w:tcPr>
            <w:tcW w:w="3116" w:type="dxa"/>
          </w:tcPr>
          <w:p w:rsidR="009151EC" w:rsidRPr="009151EC" w:rsidRDefault="009151EC" w:rsidP="00FF618F">
            <w:pPr>
              <w:pStyle w:val="NoSpacing"/>
              <w:jc w:val="center"/>
            </w:pPr>
            <w:r w:rsidRPr="009151EC">
              <w:t xml:space="preserve">Daniel: </w:t>
            </w:r>
            <w:proofErr w:type="spellStart"/>
            <w:r w:rsidRPr="009151EC">
              <w:t>Azariah</w:t>
            </w:r>
            <w:proofErr w:type="spellEnd"/>
          </w:p>
        </w:tc>
        <w:tc>
          <w:tcPr>
            <w:tcW w:w="3117" w:type="dxa"/>
          </w:tcPr>
          <w:p w:rsidR="009151EC" w:rsidRPr="009151EC" w:rsidRDefault="009151EC" w:rsidP="00FF618F">
            <w:pPr>
              <w:pStyle w:val="NoSpacing"/>
              <w:jc w:val="center"/>
            </w:pPr>
            <w:r w:rsidRPr="009151EC">
              <w:t>Daniel: Susanna</w:t>
            </w:r>
          </w:p>
        </w:tc>
        <w:tc>
          <w:tcPr>
            <w:tcW w:w="3117" w:type="dxa"/>
          </w:tcPr>
          <w:p w:rsidR="009151EC" w:rsidRPr="009151EC" w:rsidRDefault="009151EC" w:rsidP="00FF618F">
            <w:pPr>
              <w:pStyle w:val="NoSpacing"/>
              <w:jc w:val="center"/>
            </w:pPr>
            <w:r w:rsidRPr="009151EC">
              <w:t>Daniel: Bel &amp; the Dragon</w:t>
            </w:r>
          </w:p>
        </w:tc>
      </w:tr>
      <w:tr w:rsidR="009151EC" w:rsidRPr="009151EC" w:rsidTr="00FF618F">
        <w:tc>
          <w:tcPr>
            <w:tcW w:w="3116" w:type="dxa"/>
          </w:tcPr>
          <w:p w:rsidR="009151EC" w:rsidRPr="009151EC" w:rsidRDefault="009151EC" w:rsidP="00FF618F">
            <w:pPr>
              <w:pStyle w:val="NoSpacing"/>
              <w:jc w:val="center"/>
            </w:pPr>
            <w:r w:rsidRPr="009151EC">
              <w:t>1 Maccabees</w:t>
            </w:r>
          </w:p>
        </w:tc>
        <w:tc>
          <w:tcPr>
            <w:tcW w:w="3117" w:type="dxa"/>
          </w:tcPr>
          <w:p w:rsidR="009151EC" w:rsidRPr="009151EC" w:rsidRDefault="009151EC" w:rsidP="00FF618F">
            <w:pPr>
              <w:pStyle w:val="NoSpacing"/>
              <w:jc w:val="center"/>
            </w:pPr>
            <w:r w:rsidRPr="009151EC">
              <w:t>2 Maccabees</w:t>
            </w:r>
          </w:p>
        </w:tc>
        <w:tc>
          <w:tcPr>
            <w:tcW w:w="3117" w:type="dxa"/>
          </w:tcPr>
          <w:p w:rsidR="009151EC" w:rsidRPr="009151EC" w:rsidRDefault="009151EC" w:rsidP="00FF618F">
            <w:pPr>
              <w:pStyle w:val="NoSpacing"/>
              <w:jc w:val="center"/>
            </w:pPr>
          </w:p>
        </w:tc>
      </w:tr>
    </w:tbl>
    <w:p w:rsidR="00F04D27" w:rsidRDefault="00F04D27" w:rsidP="009151EC">
      <w:pPr>
        <w:pStyle w:val="NoSpacing"/>
        <w:jc w:val="both"/>
      </w:pPr>
    </w:p>
    <w:p w:rsidR="009151EC" w:rsidRPr="009151EC" w:rsidRDefault="00F04D27" w:rsidP="009151EC">
      <w:pPr>
        <w:pStyle w:val="NoSpacing"/>
        <w:jc w:val="both"/>
      </w:pPr>
      <w:proofErr w:type="spellStart"/>
      <w:r>
        <w:t>T</w:t>
      </w:r>
      <w:r w:rsidR="009151EC" w:rsidRPr="009151EC">
        <w:t>these</w:t>
      </w:r>
      <w:proofErr w:type="spellEnd"/>
      <w:r w:rsidR="009151EC" w:rsidRPr="009151EC">
        <w:t xml:space="preserve"> books were never considered “Scripture”, and even today those who use them would not call them such. They contradict things recorded in Scripture, and contain doctrines that are in opposition to Scripture. They are still produced in the Catholic translations of the Bible because they teach some Catholic doctrines, and they were adopted to contrast the “Protestant” Bible.</w:t>
      </w:r>
    </w:p>
    <w:p w:rsidR="009151EC" w:rsidRPr="00F04D27" w:rsidRDefault="009151EC" w:rsidP="009151EC">
      <w:pPr>
        <w:pStyle w:val="NoSpacing"/>
        <w:jc w:val="both"/>
        <w:rPr>
          <w:sz w:val="32"/>
          <w:szCs w:val="32"/>
        </w:rPr>
      </w:pPr>
    </w:p>
    <w:p w:rsidR="009151EC" w:rsidRPr="00F04D27" w:rsidRDefault="009151EC" w:rsidP="009151EC">
      <w:pPr>
        <w:pStyle w:val="NoSpacing"/>
        <w:jc w:val="both"/>
        <w:rPr>
          <w:b/>
          <w:sz w:val="32"/>
          <w:szCs w:val="32"/>
        </w:rPr>
      </w:pPr>
      <w:r w:rsidRPr="00F04D27">
        <w:rPr>
          <w:b/>
          <w:sz w:val="32"/>
          <w:szCs w:val="32"/>
        </w:rPr>
        <w:t xml:space="preserve">The </w:t>
      </w:r>
      <w:r w:rsidR="00F04D27">
        <w:rPr>
          <w:b/>
          <w:sz w:val="32"/>
          <w:szCs w:val="32"/>
        </w:rPr>
        <w:t>Story</w:t>
      </w:r>
      <w:r w:rsidRPr="00F04D27">
        <w:rPr>
          <w:b/>
          <w:sz w:val="32"/>
          <w:szCs w:val="32"/>
        </w:rPr>
        <w:t xml:space="preserve"> of the New Testament</w:t>
      </w:r>
    </w:p>
    <w:p w:rsidR="009151EC" w:rsidRPr="009151EC" w:rsidRDefault="009151EC" w:rsidP="009151EC">
      <w:pPr>
        <w:pStyle w:val="NoSpacing"/>
        <w:jc w:val="both"/>
      </w:pPr>
      <w:r w:rsidRPr="009151EC">
        <w:t xml:space="preserve">The New Testament is the work of men identified as the Apostles and Prophets (II Peter 1:19-21). Their work is synonymously called the foundation of the church (Ephesians 2:20). It is important to understand that what they present in the New Testament is eyewitness testimony (1 John 1:1-3). </w:t>
      </w:r>
    </w:p>
    <w:p w:rsidR="009151EC" w:rsidRPr="009151EC" w:rsidRDefault="009151EC" w:rsidP="009151EC">
      <w:pPr>
        <w:pStyle w:val="NoSpacing"/>
        <w:jc w:val="both"/>
      </w:pPr>
    </w:p>
    <w:p w:rsidR="009151EC" w:rsidRPr="009151EC" w:rsidRDefault="009151EC" w:rsidP="009151EC">
      <w:pPr>
        <w:pStyle w:val="NoSpacing"/>
        <w:jc w:val="both"/>
      </w:pPr>
      <w:r w:rsidRPr="009151EC">
        <w:t xml:space="preserve">New Testament is synonymous with the New Covenant (Jeremiah 31:31). As this it can be called: The Church (universal); The Kingdom; Spiritual Israel (See Hebrews 12:22-24). We also know that the New Testament is synonymous with a series of books (Matthew – Revelation) which are (four) Gospels, a history, and multiple epistles (and a prophecy). It is both the New Covenant and the authoritative constitution of the New Covenant. </w:t>
      </w:r>
    </w:p>
    <w:p w:rsidR="009151EC" w:rsidRPr="009151EC" w:rsidRDefault="009151EC" w:rsidP="009151EC">
      <w:pPr>
        <w:pStyle w:val="NoSpacing"/>
        <w:jc w:val="both"/>
      </w:pPr>
    </w:p>
    <w:p w:rsidR="009151EC" w:rsidRPr="009151EC" w:rsidRDefault="009151EC" w:rsidP="009151EC">
      <w:pPr>
        <w:pStyle w:val="NoSpacing"/>
        <w:jc w:val="both"/>
      </w:pPr>
      <w:r w:rsidRPr="009151EC">
        <w:t xml:space="preserve">The Gospels are four records of the life, death and resurrection of Jesus of Nazareth. The first two written were Matthew (an apostle) and Mark (a prophet), both eyewitnesses of the </w:t>
      </w:r>
      <w:r w:rsidR="00F04D27" w:rsidRPr="009151EC">
        <w:t>events</w:t>
      </w:r>
      <w:r w:rsidRPr="009151EC">
        <w:t xml:space="preserve">. The third Gospel (known as such because of his reference to existing Gospels in the first verses of his book) was written by Luke (a prophet), who researched these events as opposed to eye witnessing them. Lastly is John (an apostle), an eye witness. Subsequent to this is the book of Acts (once seen as II Luke), an eyewitness account by </w:t>
      </w:r>
      <w:r w:rsidR="004F45D6" w:rsidRPr="009151EC">
        <w:t>Luke</w:t>
      </w:r>
      <w:r w:rsidRPr="009151EC">
        <w:t xml:space="preserve"> of the growth of the church and the work of the apostles and prophets. It is also an </w:t>
      </w:r>
      <w:r w:rsidRPr="009151EC">
        <w:lastRenderedPageBreak/>
        <w:t xml:space="preserve">application of the law of Christ. Finally the New Testament contains the Epistles, letters written by eyewitness apostles and prophets of Jesus Christ. </w:t>
      </w:r>
    </w:p>
    <w:p w:rsidR="009151EC" w:rsidRPr="009151EC" w:rsidRDefault="009151EC" w:rsidP="009151EC">
      <w:pPr>
        <w:pStyle w:val="NoSpacing"/>
        <w:jc w:val="both"/>
      </w:pPr>
    </w:p>
    <w:p w:rsidR="009151EC" w:rsidRPr="009151EC" w:rsidRDefault="009151EC" w:rsidP="009151EC">
      <w:pPr>
        <w:pStyle w:val="NoSpacing"/>
        <w:jc w:val="both"/>
      </w:pPr>
      <w:r w:rsidRPr="009151EC">
        <w:t xml:space="preserve">We do not know entirely what order these books were written. We know that they were written within a 30-60 year gap (AD 40 – AD 100); actually, most were written between the years of AD 50 to AD 70. We know this because many of the authors (Peter, Paul, James) were killed before 67AD, with only John &amp; Jude are the end of the timeline. </w:t>
      </w:r>
    </w:p>
    <w:p w:rsidR="009151EC" w:rsidRPr="009151EC" w:rsidRDefault="009151EC" w:rsidP="009151EC">
      <w:pPr>
        <w:pStyle w:val="NoSpacing"/>
        <w:jc w:val="both"/>
      </w:pPr>
    </w:p>
    <w:p w:rsidR="009151EC" w:rsidRPr="009151EC" w:rsidRDefault="009151EC" w:rsidP="009151EC">
      <w:pPr>
        <w:pStyle w:val="NoSpacing"/>
        <w:jc w:val="both"/>
      </w:pPr>
      <w:r w:rsidRPr="009151EC">
        <w:t>At the end of the first century the canon of Scripture was closed. We know this because of statements made at the end of that time, such as Jude’s statement in Jude 3 that the faith have been “once and for all given”, or Peter’s statement that God had “given all things pertaining to life” (II Peter 1:3). Even while the canon was being composed, the authors spoke about the end of the work of inspiration coming soon (I Corinthians 13:8-10).</w:t>
      </w:r>
    </w:p>
    <w:p w:rsidR="009151EC" w:rsidRPr="009151EC" w:rsidRDefault="009151EC" w:rsidP="009151EC">
      <w:pPr>
        <w:pStyle w:val="NoSpacing"/>
        <w:jc w:val="both"/>
      </w:pPr>
    </w:p>
    <w:p w:rsidR="009151EC" w:rsidRPr="009151EC" w:rsidRDefault="009151EC" w:rsidP="009151EC">
      <w:pPr>
        <w:pStyle w:val="NoSpacing"/>
        <w:jc w:val="both"/>
      </w:pPr>
      <w:r w:rsidRPr="009151EC">
        <w:rPr>
          <w:b/>
        </w:rPr>
        <w:t xml:space="preserve">Answering Claims </w:t>
      </w:r>
      <w:proofErr w:type="gramStart"/>
      <w:r w:rsidRPr="009151EC">
        <w:rPr>
          <w:b/>
        </w:rPr>
        <w:t>Against</w:t>
      </w:r>
      <w:proofErr w:type="gramEnd"/>
      <w:r w:rsidRPr="009151EC">
        <w:rPr>
          <w:b/>
        </w:rPr>
        <w:t xml:space="preserve"> The New Testament</w:t>
      </w:r>
      <w:r w:rsidRPr="009151EC">
        <w:t xml:space="preserve">. </w:t>
      </w:r>
    </w:p>
    <w:p w:rsidR="009151EC" w:rsidRPr="009151EC" w:rsidRDefault="009151EC" w:rsidP="009151EC">
      <w:pPr>
        <w:pStyle w:val="NoSpacing"/>
        <w:jc w:val="both"/>
      </w:pPr>
      <w:r w:rsidRPr="009151EC">
        <w:t xml:space="preserve">Can we be certain? Some (secularists and liberal denominations) claim that the New Testament “was written much later, more like 100-200AD”. Other (fewer) claim that it was a fictional record, or that the original records have been lost. These claims can be demonstrated to be false. </w:t>
      </w:r>
    </w:p>
    <w:p w:rsidR="009151EC" w:rsidRPr="009151EC" w:rsidRDefault="009151EC" w:rsidP="009151EC">
      <w:pPr>
        <w:pStyle w:val="NoSpacing"/>
        <w:jc w:val="both"/>
      </w:pPr>
    </w:p>
    <w:p w:rsidR="009151EC" w:rsidRPr="009151EC" w:rsidRDefault="009151EC" w:rsidP="009151EC">
      <w:pPr>
        <w:pStyle w:val="NoSpacing"/>
        <w:jc w:val="both"/>
      </w:pPr>
      <w:r w:rsidRPr="009151EC">
        <w:t>There is considerable evidence that the histories were written by eyewitnesses. While we often read by these points, the New Testaments consistency in accurately naming people and places in their historical context is an enormous testimony to the accuracy of Scripture. In fact, it is Luke in particular who was once considered full of mistakes, but now shines as the greatest evidence for the New Testament</w:t>
      </w:r>
      <w:r w:rsidRPr="009151EC">
        <w:rPr>
          <w:rStyle w:val="FootnoteReference"/>
        </w:rPr>
        <w:footnoteReference w:id="2"/>
      </w:r>
      <w:r w:rsidRPr="009151EC">
        <w:t>:</w:t>
      </w:r>
    </w:p>
    <w:p w:rsidR="009151EC" w:rsidRPr="009151EC" w:rsidRDefault="00F04D27" w:rsidP="00F04D27">
      <w:pPr>
        <w:pStyle w:val="NoSpacing"/>
        <w:jc w:val="both"/>
      </w:pPr>
      <w:r>
        <w:t xml:space="preserve">   </w:t>
      </w:r>
      <w:r w:rsidR="009151EC" w:rsidRPr="009151EC">
        <w:t xml:space="preserve">- Luke’s use of the word </w:t>
      </w:r>
      <w:proofErr w:type="spellStart"/>
      <w:r w:rsidR="009151EC" w:rsidRPr="009151EC">
        <w:rPr>
          <w:i/>
        </w:rPr>
        <w:t>Meris</w:t>
      </w:r>
      <w:proofErr w:type="spellEnd"/>
      <w:r w:rsidR="009151EC" w:rsidRPr="009151EC">
        <w:t xml:space="preserve"> to maintain that Philippi was a “district” of Macedonia was doubted until inscriptions were found which use this very word to describe divisions of a district.</w:t>
      </w:r>
    </w:p>
    <w:p w:rsidR="009151EC" w:rsidRPr="009151EC" w:rsidRDefault="00F04D27" w:rsidP="00F04D27">
      <w:pPr>
        <w:pStyle w:val="NoSpacing"/>
        <w:jc w:val="both"/>
      </w:pPr>
      <w:r>
        <w:t xml:space="preserve">   - </w:t>
      </w:r>
      <w:r w:rsidR="009151EC" w:rsidRPr="009151EC">
        <w:t xml:space="preserve">Luke’s mention of </w:t>
      </w:r>
      <w:proofErr w:type="spellStart"/>
      <w:r w:rsidR="009151EC" w:rsidRPr="009151EC">
        <w:t>Quirinius</w:t>
      </w:r>
      <w:proofErr w:type="spellEnd"/>
      <w:r w:rsidR="009151EC" w:rsidRPr="009151EC">
        <w:t xml:space="preserve"> as the governor of Syria during the birth of Jesus has now been proven accurate by an inscription from Antioch.</w:t>
      </w:r>
    </w:p>
    <w:p w:rsidR="009151EC" w:rsidRPr="009151EC" w:rsidRDefault="00F04D27" w:rsidP="00F04D27">
      <w:pPr>
        <w:pStyle w:val="NoSpacing"/>
        <w:jc w:val="both"/>
      </w:pPr>
      <w:r>
        <w:t xml:space="preserve">   </w:t>
      </w:r>
      <w:r w:rsidR="009151EC" w:rsidRPr="009151EC">
        <w:t xml:space="preserve">- Luke’s usage of </w:t>
      </w:r>
      <w:proofErr w:type="spellStart"/>
      <w:r w:rsidR="009151EC" w:rsidRPr="009151EC">
        <w:rPr>
          <w:i/>
        </w:rPr>
        <w:t>Politarchs</w:t>
      </w:r>
      <w:proofErr w:type="spellEnd"/>
      <w:r w:rsidR="009151EC" w:rsidRPr="009151EC">
        <w:t xml:space="preserve"> to denote the civil authority of Thessalonica (Acts 17:6) was questioned, until some 19 inscriptions have been found that make use of this title, 5 of which are in reference to Thessalonica.</w:t>
      </w:r>
    </w:p>
    <w:p w:rsidR="009151EC" w:rsidRPr="009151EC" w:rsidRDefault="00F04D27" w:rsidP="00F04D27">
      <w:pPr>
        <w:pStyle w:val="NoSpacing"/>
        <w:jc w:val="both"/>
      </w:pPr>
      <w:r>
        <w:t xml:space="preserve">   </w:t>
      </w:r>
      <w:r w:rsidR="009151EC" w:rsidRPr="009151EC">
        <w:t xml:space="preserve">- Luke’s usage of </w:t>
      </w:r>
      <w:r w:rsidR="009151EC" w:rsidRPr="009151EC">
        <w:rPr>
          <w:i/>
        </w:rPr>
        <w:t>Praetor</w:t>
      </w:r>
      <w:r w:rsidR="009151EC" w:rsidRPr="009151EC">
        <w:t xml:space="preserve"> to describe a Philippian ruler instead of </w:t>
      </w:r>
      <w:proofErr w:type="spellStart"/>
      <w:r w:rsidR="009151EC" w:rsidRPr="009151EC">
        <w:rPr>
          <w:i/>
        </w:rPr>
        <w:t>duumuir</w:t>
      </w:r>
      <w:proofErr w:type="spellEnd"/>
      <w:r w:rsidR="009151EC" w:rsidRPr="009151EC">
        <w:t xml:space="preserve"> has been proven accurate, as the Romans used this term for magistrates of their colonies.</w:t>
      </w:r>
    </w:p>
    <w:p w:rsidR="009151EC" w:rsidRPr="009151EC" w:rsidRDefault="00F04D27" w:rsidP="00F04D27">
      <w:pPr>
        <w:pStyle w:val="NoSpacing"/>
        <w:jc w:val="both"/>
      </w:pPr>
      <w:r>
        <w:t xml:space="preserve">   </w:t>
      </w:r>
      <w:r w:rsidR="009151EC" w:rsidRPr="009151EC">
        <w:t xml:space="preserve">- Luke’s usage of Proconsul as the title for </w:t>
      </w:r>
      <w:proofErr w:type="spellStart"/>
      <w:r w:rsidR="009151EC" w:rsidRPr="009151EC">
        <w:t>Gallio</w:t>
      </w:r>
      <w:proofErr w:type="spellEnd"/>
      <w:r w:rsidR="009151EC" w:rsidRPr="009151EC">
        <w:t xml:space="preserve"> in Acts 18:12 has come under much criticism by secular historians, as the later traveler and writer Pliny never referred to </w:t>
      </w:r>
      <w:proofErr w:type="spellStart"/>
      <w:r w:rsidR="009151EC" w:rsidRPr="009151EC">
        <w:t>Gallio</w:t>
      </w:r>
      <w:proofErr w:type="spellEnd"/>
      <w:r w:rsidR="009151EC" w:rsidRPr="009151EC">
        <w:t xml:space="preserve"> as a Proconsul. This fact alone, they said, proved that the writer of Acts wrote his account much later as he was not aware of </w:t>
      </w:r>
      <w:proofErr w:type="spellStart"/>
      <w:r w:rsidR="009151EC" w:rsidRPr="009151EC">
        <w:t>Gallio’s</w:t>
      </w:r>
      <w:proofErr w:type="spellEnd"/>
      <w:r w:rsidR="009151EC" w:rsidRPr="009151EC">
        <w:t xml:space="preserve"> true position. It was only recently that the Delphi </w:t>
      </w:r>
      <w:proofErr w:type="gramStart"/>
      <w:r w:rsidR="009151EC" w:rsidRPr="009151EC">
        <w:t>Inscription ,</w:t>
      </w:r>
      <w:proofErr w:type="gramEnd"/>
      <w:r w:rsidR="009151EC" w:rsidRPr="009151EC">
        <w:t xml:space="preserve"> dated to 52 A.D. was uncovered. This inscription states, “As </w:t>
      </w:r>
      <w:proofErr w:type="spellStart"/>
      <w:r w:rsidR="009151EC" w:rsidRPr="009151EC">
        <w:t>Lusius</w:t>
      </w:r>
      <w:proofErr w:type="spellEnd"/>
      <w:r w:rsidR="009151EC" w:rsidRPr="009151EC">
        <w:t xml:space="preserve"> </w:t>
      </w:r>
      <w:proofErr w:type="spellStart"/>
      <w:r w:rsidR="009151EC" w:rsidRPr="009151EC">
        <w:t>Junius</w:t>
      </w:r>
      <w:proofErr w:type="spellEnd"/>
      <w:r w:rsidR="009151EC" w:rsidRPr="009151EC">
        <w:t xml:space="preserve"> </w:t>
      </w:r>
      <w:proofErr w:type="spellStart"/>
      <w:r w:rsidR="009151EC" w:rsidRPr="009151EC">
        <w:t>Gallio</w:t>
      </w:r>
      <w:proofErr w:type="spellEnd"/>
      <w:r w:rsidR="009151EC" w:rsidRPr="009151EC">
        <w:t xml:space="preserve">, my friend, and the proconsul of Achaia…” Here then was secular corroboration for the Acts 18:12 account. Yet </w:t>
      </w:r>
      <w:proofErr w:type="spellStart"/>
      <w:r w:rsidR="009151EC" w:rsidRPr="009151EC">
        <w:t>Gallio</w:t>
      </w:r>
      <w:proofErr w:type="spellEnd"/>
      <w:r w:rsidR="009151EC" w:rsidRPr="009151EC">
        <w:t xml:space="preserve"> only held this position for one year. Thus the writer of Acts had to have written this verse in or around 52 A.D., and not later, otherwise he would not have known </w:t>
      </w:r>
      <w:proofErr w:type="spellStart"/>
      <w:r w:rsidR="009151EC" w:rsidRPr="009151EC">
        <w:t>Gallio</w:t>
      </w:r>
      <w:proofErr w:type="spellEnd"/>
      <w:r w:rsidR="009151EC" w:rsidRPr="009151EC">
        <w:t xml:space="preserve"> was a proconsul. </w:t>
      </w:r>
      <w:proofErr w:type="gramStart"/>
      <w:r>
        <w:t>T</w:t>
      </w:r>
      <w:r w:rsidR="009151EC" w:rsidRPr="009151EC">
        <w:t>his  not</w:t>
      </w:r>
      <w:proofErr w:type="gramEnd"/>
      <w:r w:rsidR="009151EC" w:rsidRPr="009151EC">
        <w:t xml:space="preserve"> only gives credibility to the historicity of the Acts account, but also dates the writings in and around 52 A.D. Had the writer written the book of Acts in the 2nd century as many liberal scholars suggest he would have agreed with Pliny and both would have been contradicted by the eyewitness account of the Delphi </w:t>
      </w:r>
      <w:proofErr w:type="gramStart"/>
      <w:r w:rsidR="009151EC" w:rsidRPr="009151EC">
        <w:t>Inscription.</w:t>
      </w:r>
      <w:proofErr w:type="gramEnd"/>
    </w:p>
    <w:p w:rsidR="009151EC" w:rsidRPr="009151EC" w:rsidRDefault="009151EC" w:rsidP="009151EC">
      <w:pPr>
        <w:pStyle w:val="NoSpacing"/>
        <w:jc w:val="both"/>
      </w:pPr>
    </w:p>
    <w:p w:rsidR="009151EC" w:rsidRPr="009151EC" w:rsidRDefault="009151EC" w:rsidP="009151EC">
      <w:pPr>
        <w:pStyle w:val="NoSpacing"/>
        <w:jc w:val="both"/>
      </w:pPr>
      <w:r w:rsidRPr="009151EC">
        <w:t xml:space="preserve">There are many more evidences by the writers of the New Testament that they wrote of the times that they lived within, demonstrating that they were eyewitnesses of their accounts. </w:t>
      </w:r>
    </w:p>
    <w:p w:rsidR="009151EC" w:rsidRPr="009151EC" w:rsidRDefault="009151EC" w:rsidP="009151EC">
      <w:pPr>
        <w:pStyle w:val="NoSpacing"/>
        <w:jc w:val="both"/>
      </w:pPr>
    </w:p>
    <w:p w:rsidR="009151EC" w:rsidRPr="009151EC" w:rsidRDefault="009151EC" w:rsidP="009151EC">
      <w:pPr>
        <w:pStyle w:val="NoSpacing"/>
        <w:jc w:val="both"/>
      </w:pPr>
      <w:r w:rsidRPr="009151EC">
        <w:t xml:space="preserve">As well, there is also a great deal of corroborating evidence by subsequent writers of the second and third century that the original accounts are accurate. We know that by 115AD there was a universal usage of the expression “Fourfold Gospels”. The </w:t>
      </w:r>
      <w:proofErr w:type="spellStart"/>
      <w:r w:rsidRPr="00F04D27">
        <w:rPr>
          <w:u w:val="single"/>
        </w:rPr>
        <w:t>Muratorian</w:t>
      </w:r>
      <w:proofErr w:type="spellEnd"/>
      <w:r w:rsidRPr="00F04D27">
        <w:rPr>
          <w:u w:val="single"/>
        </w:rPr>
        <w:t xml:space="preserve"> Fragment</w:t>
      </w:r>
      <w:r w:rsidRPr="009151EC">
        <w:t xml:space="preserve">, which dates to around AD 170, demonstrates that the books we call the New Testament canon were the generally accepted books by many Christians and churches. </w:t>
      </w:r>
    </w:p>
    <w:p w:rsidR="009151EC" w:rsidRPr="009151EC" w:rsidRDefault="009151EC" w:rsidP="009151EC">
      <w:pPr>
        <w:pStyle w:val="NoSpacing"/>
        <w:jc w:val="both"/>
      </w:pPr>
    </w:p>
    <w:p w:rsidR="009151EC" w:rsidRPr="009151EC" w:rsidRDefault="009151EC" w:rsidP="009151EC">
      <w:pPr>
        <w:pStyle w:val="NoSpacing"/>
        <w:jc w:val="both"/>
      </w:pPr>
      <w:r w:rsidRPr="009151EC">
        <w:t xml:space="preserve">Finally, there are many historic evidences of the texts themselves that demonstrate their antiquity. The oldest fragment of the New Testament dates to the year 125; recently archaeologists have found (within the remains of a mummy’s funerary mask) what they believe may be fragments of the Gospel of Mark; if so, these remains dates to before 80AD. </w:t>
      </w:r>
    </w:p>
    <w:p w:rsidR="009151EC" w:rsidRPr="009151EC" w:rsidRDefault="009151EC" w:rsidP="009151EC">
      <w:pPr>
        <w:pStyle w:val="NoSpacing"/>
        <w:jc w:val="both"/>
      </w:pPr>
    </w:p>
    <w:p w:rsidR="009151EC" w:rsidRPr="009151EC" w:rsidRDefault="009151EC" w:rsidP="009151EC">
      <w:pPr>
        <w:pStyle w:val="NoSpacing"/>
        <w:jc w:val="both"/>
        <w:rPr>
          <w:b/>
        </w:rPr>
      </w:pPr>
      <w:r w:rsidRPr="009151EC">
        <w:rPr>
          <w:b/>
        </w:rPr>
        <w:t xml:space="preserve">What Is Not In the New </w:t>
      </w:r>
      <w:proofErr w:type="gramStart"/>
      <w:r w:rsidRPr="009151EC">
        <w:rPr>
          <w:b/>
        </w:rPr>
        <w:t>Testament</w:t>
      </w:r>
      <w:proofErr w:type="gramEnd"/>
    </w:p>
    <w:p w:rsidR="009151EC" w:rsidRPr="009151EC" w:rsidRDefault="009151EC" w:rsidP="009151EC">
      <w:pPr>
        <w:pStyle w:val="NoSpacing"/>
        <w:jc w:val="both"/>
      </w:pPr>
      <w:r w:rsidRPr="009151EC">
        <w:t>A popular fad today is pulling out “new” Gospels (most recently, the claim that the Gospel of Judas was a newly discovered Gospel account). Many of the Gospels are “Gnostic gospels”, texts created in the 2</w:t>
      </w:r>
      <w:r w:rsidRPr="009151EC">
        <w:rPr>
          <w:vertAlign w:val="superscript"/>
        </w:rPr>
        <w:t>nd</w:t>
      </w:r>
      <w:r w:rsidRPr="009151EC">
        <w:t xml:space="preserve"> and 3</w:t>
      </w:r>
      <w:r w:rsidRPr="009151EC">
        <w:rPr>
          <w:vertAlign w:val="superscript"/>
        </w:rPr>
        <w:t>rd</w:t>
      </w:r>
      <w:r w:rsidRPr="009151EC">
        <w:t xml:space="preserve"> centuries by Gnostics to contradict the accepted Scriptures (the Bible). They include the Gospel of Judas, the Gospel of Thomas and the Secret Gospel of Mark. Today many books have been published to promote these “secrets”. This reveals the main reason these texts are repeatedly “discovered”: to sell their books!</w:t>
      </w:r>
    </w:p>
    <w:p w:rsidR="009151EC" w:rsidRPr="009151EC" w:rsidRDefault="009151EC" w:rsidP="009151EC">
      <w:pPr>
        <w:pStyle w:val="NoSpacing"/>
        <w:jc w:val="both"/>
      </w:pPr>
    </w:p>
    <w:p w:rsidR="009151EC" w:rsidRPr="009151EC" w:rsidRDefault="009151EC" w:rsidP="009151EC">
      <w:pPr>
        <w:pStyle w:val="NoSpacing"/>
        <w:jc w:val="both"/>
      </w:pPr>
      <w:r w:rsidRPr="009151EC">
        <w:t>There are other books that existed in the early 2</w:t>
      </w:r>
      <w:r w:rsidRPr="009151EC">
        <w:rPr>
          <w:vertAlign w:val="superscript"/>
        </w:rPr>
        <w:t>nd</w:t>
      </w:r>
      <w:r w:rsidRPr="009151EC">
        <w:t xml:space="preserve"> and 3</w:t>
      </w:r>
      <w:r w:rsidRPr="009151EC">
        <w:rPr>
          <w:vertAlign w:val="superscript"/>
        </w:rPr>
        <w:t>rd</w:t>
      </w:r>
      <w:r w:rsidRPr="009151EC">
        <w:t xml:space="preserve"> centuries that were never seen as (or perhaps even intended to be considered) leg</w:t>
      </w:r>
      <w:bookmarkStart w:id="0" w:name="_GoBack"/>
      <w:bookmarkEnd w:id="0"/>
      <w:r w:rsidRPr="009151EC">
        <w:t xml:space="preserve">itimate. These are books like the Shepherd of Hermes, the </w:t>
      </w:r>
      <w:proofErr w:type="spellStart"/>
      <w:r w:rsidRPr="009151EC">
        <w:t>Didache</w:t>
      </w:r>
      <w:proofErr w:type="spellEnd"/>
      <w:r w:rsidRPr="009151EC">
        <w:t>, and the Epistle of Barnabas. Writers in the 2</w:t>
      </w:r>
      <w:r w:rsidRPr="009151EC">
        <w:rPr>
          <w:vertAlign w:val="superscript"/>
        </w:rPr>
        <w:t>nd</w:t>
      </w:r>
      <w:r w:rsidRPr="009151EC">
        <w:t xml:space="preserve"> century mention these books as being separate from the inspiration of the first century apostles and prophets. To be clear, NO NEW books have ever been found in the last 2000 years that were not part of the examination process of early Christians in the early 2</w:t>
      </w:r>
      <w:r w:rsidRPr="009151EC">
        <w:rPr>
          <w:vertAlign w:val="superscript"/>
        </w:rPr>
        <w:t>nd</w:t>
      </w:r>
      <w:r w:rsidRPr="009151EC">
        <w:t xml:space="preserve"> century. </w:t>
      </w:r>
    </w:p>
    <w:p w:rsidR="009C590D" w:rsidRPr="009151EC" w:rsidRDefault="009C590D" w:rsidP="009151EC">
      <w:pPr>
        <w:pStyle w:val="NoSpacing"/>
      </w:pPr>
    </w:p>
    <w:sectPr w:rsidR="009C590D" w:rsidRPr="009151EC" w:rsidSect="0042679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3634" w:rsidRDefault="00A73634" w:rsidP="00415441">
      <w:pPr>
        <w:spacing w:after="0" w:line="240" w:lineRule="auto"/>
      </w:pPr>
      <w:r>
        <w:separator/>
      </w:r>
    </w:p>
  </w:endnote>
  <w:endnote w:type="continuationSeparator" w:id="0">
    <w:p w:rsidR="00A73634" w:rsidRDefault="00A73634" w:rsidP="004154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3634" w:rsidRDefault="00A73634" w:rsidP="00415441">
      <w:pPr>
        <w:spacing w:after="0" w:line="240" w:lineRule="auto"/>
      </w:pPr>
      <w:r>
        <w:separator/>
      </w:r>
    </w:p>
  </w:footnote>
  <w:footnote w:type="continuationSeparator" w:id="0">
    <w:p w:rsidR="00A73634" w:rsidRDefault="00A73634" w:rsidP="00415441">
      <w:pPr>
        <w:spacing w:after="0" w:line="240" w:lineRule="auto"/>
      </w:pPr>
      <w:r>
        <w:continuationSeparator/>
      </w:r>
    </w:p>
  </w:footnote>
  <w:footnote w:id="1">
    <w:p w:rsidR="009151EC" w:rsidRPr="008B5BDA" w:rsidRDefault="009151EC" w:rsidP="009151EC">
      <w:pPr>
        <w:pStyle w:val="FootnoteText"/>
        <w:rPr>
          <w:sz w:val="16"/>
          <w:szCs w:val="16"/>
        </w:rPr>
      </w:pPr>
      <w:r w:rsidRPr="008B5BDA">
        <w:rPr>
          <w:rStyle w:val="FootnoteReference"/>
          <w:sz w:val="16"/>
          <w:szCs w:val="16"/>
        </w:rPr>
        <w:footnoteRef/>
      </w:r>
      <w:r w:rsidRPr="008B5BDA">
        <w:rPr>
          <w:sz w:val="16"/>
          <w:szCs w:val="16"/>
        </w:rPr>
        <w:t xml:space="preserve"> </w:t>
      </w:r>
      <w:r w:rsidRPr="008B5BDA">
        <w:rPr>
          <w:i/>
          <w:sz w:val="16"/>
          <w:szCs w:val="16"/>
        </w:rPr>
        <w:t>Biblical Archeological Review</w:t>
      </w:r>
      <w:r w:rsidRPr="008B5BDA">
        <w:rPr>
          <w:sz w:val="16"/>
          <w:szCs w:val="16"/>
        </w:rPr>
        <w:t>, March/April 2013, pp 46-47</w:t>
      </w:r>
    </w:p>
  </w:footnote>
  <w:footnote w:id="2">
    <w:p w:rsidR="009151EC" w:rsidRPr="00F079AC" w:rsidRDefault="009151EC" w:rsidP="009151EC">
      <w:pPr>
        <w:pStyle w:val="FootnoteText"/>
        <w:rPr>
          <w:sz w:val="16"/>
          <w:szCs w:val="16"/>
        </w:rPr>
      </w:pPr>
      <w:r w:rsidRPr="00F079AC">
        <w:rPr>
          <w:rStyle w:val="FootnoteReference"/>
          <w:sz w:val="16"/>
          <w:szCs w:val="16"/>
        </w:rPr>
        <w:footnoteRef/>
      </w:r>
      <w:r w:rsidRPr="00F079AC">
        <w:rPr>
          <w:sz w:val="16"/>
          <w:szCs w:val="16"/>
        </w:rPr>
        <w:t xml:space="preserve"> http://www.debate.org.uk/debate-topics/historical/the-bible-and-the-quran/the-bibles-archaeological-evidence/</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1123"/>
    <w:rsid w:val="00072731"/>
    <w:rsid w:val="002577A8"/>
    <w:rsid w:val="0029552F"/>
    <w:rsid w:val="003A560B"/>
    <w:rsid w:val="00415441"/>
    <w:rsid w:val="00426798"/>
    <w:rsid w:val="004F45D6"/>
    <w:rsid w:val="00532BD6"/>
    <w:rsid w:val="00791123"/>
    <w:rsid w:val="008913A1"/>
    <w:rsid w:val="008E36CD"/>
    <w:rsid w:val="009151EC"/>
    <w:rsid w:val="009C590D"/>
    <w:rsid w:val="00A73634"/>
    <w:rsid w:val="00A7676F"/>
    <w:rsid w:val="00A97904"/>
    <w:rsid w:val="00B42423"/>
    <w:rsid w:val="00E07E57"/>
    <w:rsid w:val="00F04D27"/>
    <w:rsid w:val="00FE63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5B5D16-BAAB-41D0-B951-611CE5FD7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51EC"/>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154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15441"/>
    <w:pPr>
      <w:tabs>
        <w:tab w:val="center" w:pos="4680"/>
        <w:tab w:val="right" w:pos="9360"/>
      </w:tabs>
      <w:spacing w:after="0" w:line="240" w:lineRule="auto"/>
    </w:pPr>
  </w:style>
  <w:style w:type="character" w:customStyle="1" w:styleId="HeaderChar">
    <w:name w:val="Header Char"/>
    <w:basedOn w:val="DefaultParagraphFont"/>
    <w:link w:val="Header"/>
    <w:uiPriority w:val="99"/>
    <w:rsid w:val="00415441"/>
  </w:style>
  <w:style w:type="paragraph" w:styleId="Footer">
    <w:name w:val="footer"/>
    <w:basedOn w:val="Normal"/>
    <w:link w:val="FooterChar"/>
    <w:uiPriority w:val="99"/>
    <w:unhideWhenUsed/>
    <w:rsid w:val="004154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415441"/>
  </w:style>
  <w:style w:type="paragraph" w:styleId="NoSpacing">
    <w:name w:val="No Spacing"/>
    <w:uiPriority w:val="1"/>
    <w:qFormat/>
    <w:rsid w:val="00415441"/>
    <w:pPr>
      <w:spacing w:after="0" w:line="240" w:lineRule="auto"/>
    </w:pPr>
  </w:style>
  <w:style w:type="paragraph" w:styleId="FootnoteText">
    <w:name w:val="footnote text"/>
    <w:basedOn w:val="Normal"/>
    <w:link w:val="FootnoteTextChar"/>
    <w:uiPriority w:val="99"/>
    <w:semiHidden/>
    <w:unhideWhenUsed/>
    <w:rsid w:val="009151E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151EC"/>
    <w:rPr>
      <w:sz w:val="20"/>
      <w:szCs w:val="20"/>
    </w:rPr>
  </w:style>
  <w:style w:type="character" w:styleId="FootnoteReference">
    <w:name w:val="footnote reference"/>
    <w:basedOn w:val="DefaultParagraphFont"/>
    <w:uiPriority w:val="99"/>
    <w:semiHidden/>
    <w:unhideWhenUsed/>
    <w:rsid w:val="009151EC"/>
    <w:rPr>
      <w:vertAlign w:val="superscript"/>
    </w:rPr>
  </w:style>
  <w:style w:type="paragraph" w:styleId="BalloonText">
    <w:name w:val="Balloon Text"/>
    <w:basedOn w:val="Normal"/>
    <w:link w:val="BalloonTextChar"/>
    <w:uiPriority w:val="99"/>
    <w:semiHidden/>
    <w:unhideWhenUsed/>
    <w:rsid w:val="00F04D2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04D2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6835950">
      <w:bodyDiv w:val="1"/>
      <w:marLeft w:val="0"/>
      <w:marRight w:val="0"/>
      <w:marTop w:val="0"/>
      <w:marBottom w:val="0"/>
      <w:divBdr>
        <w:top w:val="none" w:sz="0" w:space="0" w:color="auto"/>
        <w:left w:val="none" w:sz="0" w:space="0" w:color="auto"/>
        <w:bottom w:val="none" w:sz="0" w:space="0" w:color="auto"/>
        <w:right w:val="none" w:sz="0" w:space="0" w:color="auto"/>
      </w:divBdr>
      <w:divsChild>
        <w:div w:id="224995030">
          <w:marLeft w:val="0"/>
          <w:marRight w:val="0"/>
          <w:marTop w:val="0"/>
          <w:marBottom w:val="0"/>
          <w:divBdr>
            <w:top w:val="none" w:sz="0" w:space="0" w:color="auto"/>
            <w:left w:val="none" w:sz="0" w:space="0" w:color="auto"/>
            <w:bottom w:val="none" w:sz="0" w:space="0" w:color="auto"/>
            <w:right w:val="none" w:sz="0" w:space="0" w:color="auto"/>
          </w:divBdr>
        </w:div>
        <w:div w:id="1669363431">
          <w:marLeft w:val="0"/>
          <w:marRight w:val="0"/>
          <w:marTop w:val="0"/>
          <w:marBottom w:val="0"/>
          <w:divBdr>
            <w:top w:val="none" w:sz="0" w:space="0" w:color="auto"/>
            <w:left w:val="none" w:sz="0" w:space="0" w:color="auto"/>
            <w:bottom w:val="none" w:sz="0" w:space="0" w:color="auto"/>
            <w:right w:val="none" w:sz="0" w:space="0" w:color="auto"/>
          </w:divBdr>
        </w:div>
        <w:div w:id="403140742">
          <w:marLeft w:val="0"/>
          <w:marRight w:val="0"/>
          <w:marTop w:val="0"/>
          <w:marBottom w:val="0"/>
          <w:divBdr>
            <w:top w:val="none" w:sz="0" w:space="0" w:color="auto"/>
            <w:left w:val="none" w:sz="0" w:space="0" w:color="auto"/>
            <w:bottom w:val="none" w:sz="0" w:space="0" w:color="auto"/>
            <w:right w:val="none" w:sz="0" w:space="0" w:color="auto"/>
          </w:divBdr>
        </w:div>
        <w:div w:id="1996488789">
          <w:marLeft w:val="0"/>
          <w:marRight w:val="0"/>
          <w:marTop w:val="0"/>
          <w:marBottom w:val="0"/>
          <w:divBdr>
            <w:top w:val="none" w:sz="0" w:space="0" w:color="auto"/>
            <w:left w:val="none" w:sz="0" w:space="0" w:color="auto"/>
            <w:bottom w:val="none" w:sz="0" w:space="0" w:color="auto"/>
            <w:right w:val="none" w:sz="0" w:space="0" w:color="auto"/>
          </w:divBdr>
        </w:div>
        <w:div w:id="1206286071">
          <w:marLeft w:val="0"/>
          <w:marRight w:val="0"/>
          <w:marTop w:val="0"/>
          <w:marBottom w:val="0"/>
          <w:divBdr>
            <w:top w:val="none" w:sz="0" w:space="0" w:color="auto"/>
            <w:left w:val="none" w:sz="0" w:space="0" w:color="auto"/>
            <w:bottom w:val="none" w:sz="0" w:space="0" w:color="auto"/>
            <w:right w:val="none" w:sz="0" w:space="0" w:color="auto"/>
          </w:divBdr>
        </w:div>
        <w:div w:id="2065594178">
          <w:marLeft w:val="0"/>
          <w:marRight w:val="0"/>
          <w:marTop w:val="0"/>
          <w:marBottom w:val="0"/>
          <w:divBdr>
            <w:top w:val="none" w:sz="0" w:space="0" w:color="auto"/>
            <w:left w:val="none" w:sz="0" w:space="0" w:color="auto"/>
            <w:bottom w:val="none" w:sz="0" w:space="0" w:color="auto"/>
            <w:right w:val="none" w:sz="0" w:space="0" w:color="auto"/>
          </w:divBdr>
        </w:div>
        <w:div w:id="1329792947">
          <w:marLeft w:val="0"/>
          <w:marRight w:val="0"/>
          <w:marTop w:val="0"/>
          <w:marBottom w:val="0"/>
          <w:divBdr>
            <w:top w:val="none" w:sz="0" w:space="0" w:color="auto"/>
            <w:left w:val="none" w:sz="0" w:space="0" w:color="auto"/>
            <w:bottom w:val="none" w:sz="0" w:space="0" w:color="auto"/>
            <w:right w:val="none" w:sz="0" w:space="0" w:color="auto"/>
          </w:divBdr>
        </w:div>
        <w:div w:id="1853765695">
          <w:marLeft w:val="0"/>
          <w:marRight w:val="0"/>
          <w:marTop w:val="0"/>
          <w:marBottom w:val="0"/>
          <w:divBdr>
            <w:top w:val="none" w:sz="0" w:space="0" w:color="auto"/>
            <w:left w:val="none" w:sz="0" w:space="0" w:color="auto"/>
            <w:bottom w:val="none" w:sz="0" w:space="0" w:color="auto"/>
            <w:right w:val="none" w:sz="0" w:space="0" w:color="auto"/>
          </w:divBdr>
        </w:div>
        <w:div w:id="1555508982">
          <w:marLeft w:val="0"/>
          <w:marRight w:val="0"/>
          <w:marTop w:val="0"/>
          <w:marBottom w:val="0"/>
          <w:divBdr>
            <w:top w:val="none" w:sz="0" w:space="0" w:color="auto"/>
            <w:left w:val="none" w:sz="0" w:space="0" w:color="auto"/>
            <w:bottom w:val="none" w:sz="0" w:space="0" w:color="auto"/>
            <w:right w:val="none" w:sz="0" w:space="0" w:color="auto"/>
          </w:divBdr>
        </w:div>
        <w:div w:id="652875797">
          <w:marLeft w:val="0"/>
          <w:marRight w:val="0"/>
          <w:marTop w:val="0"/>
          <w:marBottom w:val="0"/>
          <w:divBdr>
            <w:top w:val="none" w:sz="0" w:space="0" w:color="auto"/>
            <w:left w:val="none" w:sz="0" w:space="0" w:color="auto"/>
            <w:bottom w:val="none" w:sz="0" w:space="0" w:color="auto"/>
            <w:right w:val="none" w:sz="0" w:space="0" w:color="auto"/>
          </w:divBdr>
        </w:div>
        <w:div w:id="2120561395">
          <w:marLeft w:val="0"/>
          <w:marRight w:val="0"/>
          <w:marTop w:val="0"/>
          <w:marBottom w:val="0"/>
          <w:divBdr>
            <w:top w:val="none" w:sz="0" w:space="0" w:color="auto"/>
            <w:left w:val="none" w:sz="0" w:space="0" w:color="auto"/>
            <w:bottom w:val="none" w:sz="0" w:space="0" w:color="auto"/>
            <w:right w:val="none" w:sz="0" w:space="0" w:color="auto"/>
          </w:divBdr>
        </w:div>
        <w:div w:id="1024285668">
          <w:marLeft w:val="0"/>
          <w:marRight w:val="0"/>
          <w:marTop w:val="0"/>
          <w:marBottom w:val="0"/>
          <w:divBdr>
            <w:top w:val="none" w:sz="0" w:space="0" w:color="auto"/>
            <w:left w:val="none" w:sz="0" w:space="0" w:color="auto"/>
            <w:bottom w:val="none" w:sz="0" w:space="0" w:color="auto"/>
            <w:right w:val="none" w:sz="0" w:space="0" w:color="auto"/>
          </w:divBdr>
        </w:div>
        <w:div w:id="1437751894">
          <w:marLeft w:val="0"/>
          <w:marRight w:val="0"/>
          <w:marTop w:val="0"/>
          <w:marBottom w:val="0"/>
          <w:divBdr>
            <w:top w:val="none" w:sz="0" w:space="0" w:color="auto"/>
            <w:left w:val="none" w:sz="0" w:space="0" w:color="auto"/>
            <w:bottom w:val="none" w:sz="0" w:space="0" w:color="auto"/>
            <w:right w:val="none" w:sz="0" w:space="0" w:color="auto"/>
          </w:divBdr>
        </w:div>
        <w:div w:id="7441140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1808</Words>
  <Characters>10312</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HAINES</dc:creator>
  <cp:keywords/>
  <dc:description/>
  <cp:lastModifiedBy>BRIAN HAINES</cp:lastModifiedBy>
  <cp:revision>2</cp:revision>
  <cp:lastPrinted>2018-04-11T23:46:00Z</cp:lastPrinted>
  <dcterms:created xsi:type="dcterms:W3CDTF">2018-04-13T03:25:00Z</dcterms:created>
  <dcterms:modified xsi:type="dcterms:W3CDTF">2018-04-13T03:25:00Z</dcterms:modified>
</cp:coreProperties>
</file>